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57" w:rsidRDefault="008E3B57" w:rsidP="008E3B57">
      <w:pPr>
        <w:pStyle w:val="Ttulo4"/>
        <w:rPr>
          <w:rFonts w:ascii="Arial" w:hAnsi="Arial" w:cs="Arial"/>
        </w:rPr>
      </w:pPr>
    </w:p>
    <w:p w:rsidR="008E3B57" w:rsidRPr="00B701BE" w:rsidRDefault="008E3B57" w:rsidP="008E3B57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2017ko KREDITU GEHIGARRIAK.</w:t>
      </w:r>
      <w:r w:rsidRPr="00B7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BOSTGARREN </w:t>
      </w:r>
      <w:r w:rsidRPr="00B701BE">
        <w:rPr>
          <w:rFonts w:ascii="Arial" w:hAnsi="Arial" w:cs="Arial"/>
        </w:rPr>
        <w:t>ESPEDIENT</w:t>
      </w:r>
      <w:r>
        <w:rPr>
          <w:rFonts w:ascii="Arial" w:hAnsi="Arial" w:cs="Arial"/>
        </w:rPr>
        <w:t>E</w:t>
      </w:r>
      <w:r w:rsidRPr="00B701BE">
        <w:rPr>
          <w:rFonts w:ascii="Arial" w:hAnsi="Arial" w:cs="Arial"/>
        </w:rPr>
        <w:t>A</w:t>
      </w:r>
    </w:p>
    <w:p w:rsidR="008E3B57" w:rsidRPr="000F6186" w:rsidRDefault="008E3B57" w:rsidP="008E3B57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5º</w:t>
      </w:r>
      <w:r w:rsidRPr="000F6186">
        <w:rPr>
          <w:rFonts w:ascii="Arial" w:hAnsi="Arial" w:cs="Arial"/>
        </w:rPr>
        <w:t xml:space="preserve"> EXPEDIENTE DE CREDITOS ADICIONALES- 20</w:t>
      </w:r>
      <w:r>
        <w:rPr>
          <w:rFonts w:ascii="Arial" w:hAnsi="Arial" w:cs="Arial"/>
        </w:rPr>
        <w:t>17</w:t>
      </w:r>
      <w:r w:rsidRPr="000F6186">
        <w:rPr>
          <w:rFonts w:ascii="Arial" w:hAnsi="Arial" w:cs="Arial"/>
        </w:rPr>
        <w:t xml:space="preserve"> </w:t>
      </w:r>
    </w:p>
    <w:p w:rsidR="008E3B57" w:rsidRPr="000F6186" w:rsidRDefault="008E3B57" w:rsidP="008E3B57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8E3B57" w:rsidRDefault="008E3B57" w:rsidP="008E3B57">
      <w:pPr>
        <w:jc w:val="center"/>
        <w:rPr>
          <w:rFonts w:ascii="Arial" w:hAnsi="Arial" w:cs="Arial"/>
          <w:b/>
          <w:sz w:val="20"/>
          <w:u w:val="single"/>
        </w:rPr>
      </w:pPr>
    </w:p>
    <w:p w:rsidR="008E3B57" w:rsidRPr="00D90C72" w:rsidRDefault="008E3B57" w:rsidP="008E3B5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Altxortegi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gerakina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Gastu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orokorretarako.Finan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5.821.669,77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6.727.819,77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8E3B57" w:rsidRPr="00D90C72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F34177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5.821.669,37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F34177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6.727.819,77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E3B57" w:rsidRPr="00F34177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</w:tbl>
    <w:p w:rsidR="008E3B57" w:rsidRPr="00D90C72" w:rsidRDefault="008E3B57" w:rsidP="008E3B57">
      <w:pPr>
        <w:rPr>
          <w:rFonts w:ascii="Arial" w:hAnsi="Arial" w:cs="Arial"/>
          <w:sz w:val="20"/>
        </w:rPr>
      </w:pPr>
    </w:p>
    <w:p w:rsidR="008E3B57" w:rsidRDefault="008E3B57" w:rsidP="008E3B57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8E3B57" w:rsidRDefault="008E3B57" w:rsidP="008E3B57">
      <w:pPr>
        <w:jc w:val="center"/>
        <w:rPr>
          <w:rFonts w:ascii="Arial" w:hAnsi="Arial" w:cs="Arial"/>
          <w:b/>
          <w:sz w:val="20"/>
          <w:u w:val="single"/>
        </w:rPr>
      </w:pPr>
    </w:p>
    <w:p w:rsidR="008E3B57" w:rsidRPr="00D90C72" w:rsidRDefault="008E3B57" w:rsidP="008E3B5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8E3B57" w:rsidRPr="00D90C72" w:rsidTr="00E4528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E3B57" w:rsidRDefault="008E3B57" w:rsidP="00E45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1.0300.601.19.153.20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Default="008E3B57" w:rsidP="00E452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Astelena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egituraren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sendotze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fatxadaren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eraberritze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exekuzioa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/ Consolidación estructural y restauración fachada </w:t>
            </w:r>
            <w:proofErr w:type="spellStart"/>
            <w:r>
              <w:rPr>
                <w:rFonts w:ascii="Arial" w:hAnsi="Arial" w:cs="Arial"/>
                <w:sz w:val="20"/>
              </w:rPr>
              <w:t>Astelena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E3B57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906.150,00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8E3B57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732016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B57" w:rsidRPr="00732016" w:rsidRDefault="008E3B57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732016" w:rsidRDefault="008E3B57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732016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732016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E3B57" w:rsidRPr="00732016" w:rsidRDefault="008E3B57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E3B57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D90C72" w:rsidRDefault="008E3B57" w:rsidP="00E45284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9F4D9C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3B57" w:rsidRPr="009F4D9C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E3B57" w:rsidRPr="009F4D9C" w:rsidRDefault="008E3B57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</w:tbl>
    <w:p w:rsidR="008E3B57" w:rsidRPr="00D90C72" w:rsidRDefault="008E3B57" w:rsidP="008E3B57">
      <w:pPr>
        <w:jc w:val="both"/>
        <w:rPr>
          <w:rFonts w:ascii="Arial" w:hAnsi="Arial" w:cs="Arial"/>
          <w:sz w:val="20"/>
        </w:rPr>
      </w:pPr>
    </w:p>
    <w:p w:rsidR="008E3B57" w:rsidRPr="00D90C72" w:rsidRDefault="008E3B57" w:rsidP="008E3B57">
      <w:pPr>
        <w:jc w:val="both"/>
        <w:rPr>
          <w:rFonts w:ascii="Arial" w:hAnsi="Arial" w:cs="Arial"/>
          <w:sz w:val="20"/>
        </w:rPr>
      </w:pPr>
    </w:p>
    <w:p w:rsidR="008E3B57" w:rsidRDefault="008E3B57" w:rsidP="008E3B57">
      <w:pPr>
        <w:jc w:val="both"/>
        <w:rPr>
          <w:rFonts w:ascii="Arial" w:hAnsi="Arial" w:cs="Arial"/>
          <w:sz w:val="20"/>
        </w:rPr>
        <w:sectPr w:rsidR="008E3B57" w:rsidSect="00580283">
          <w:footerReference w:type="default" r:id="rId6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8E3B57" w:rsidRPr="00D90C72" w:rsidRDefault="008E3B57" w:rsidP="008E3B57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KONTUHARTZAILETZAREN TXO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TENA</w:t>
            </w: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Zigor Eguia Lejardi, Eibarko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Udaleko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Kontuhartzailea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naizen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honek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Gehigarriaren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bostgarren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espedie</w:t>
            </w:r>
            <w:r w:rsidRPr="00FA48CF">
              <w:rPr>
                <w:rFonts w:ascii="Arial" w:hAnsi="Arial" w:cs="Arial"/>
                <w:sz w:val="22"/>
                <w:szCs w:val="22"/>
              </w:rPr>
              <w:t>n</w:t>
            </w:r>
            <w:r w:rsidRPr="00FA48CF">
              <w:rPr>
                <w:rFonts w:ascii="Arial" w:hAnsi="Arial" w:cs="Arial"/>
                <w:sz w:val="22"/>
                <w:szCs w:val="22"/>
              </w:rPr>
              <w:t>teari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buruz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honako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esan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dut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eragiketak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daitezkeela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Gipuzkoako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Lurralde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Historikoko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Toki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Erakundeen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aurrekontuei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buruzko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abenduaren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19ko 21/2003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Foru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Arauaren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>.a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tikuluak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dioena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bete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egiten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delako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tramitazioari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dagokionez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finantzaketarako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adina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</w:t>
            </w:r>
            <w:r w:rsidRPr="00FA48CF">
              <w:rPr>
                <w:rFonts w:ascii="Arial" w:hAnsi="Arial" w:cs="Arial"/>
                <w:sz w:val="22"/>
                <w:szCs w:val="22"/>
              </w:rPr>
              <w:t>a</w:t>
            </w:r>
            <w:r w:rsidRPr="00FA48CF">
              <w:rPr>
                <w:rFonts w:ascii="Arial" w:hAnsi="Arial" w:cs="Arial"/>
                <w:sz w:val="22"/>
                <w:szCs w:val="22"/>
              </w:rPr>
              <w:t>goelako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En relación con el </w:t>
            </w:r>
            <w:r>
              <w:rPr>
                <w:rFonts w:ascii="Arial" w:hAnsi="Arial" w:cs="Arial"/>
                <w:sz w:val="22"/>
                <w:szCs w:val="22"/>
              </w:rPr>
              <w:t>Quinto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Expediente de Créditos Adicionales del Presupuesto Mun</w:t>
            </w:r>
            <w:r w:rsidRPr="00FA48CF">
              <w:rPr>
                <w:rFonts w:ascii="Arial" w:hAnsi="Arial" w:cs="Arial"/>
                <w:sz w:val="22"/>
                <w:szCs w:val="22"/>
              </w:rPr>
              <w:t>i</w:t>
            </w:r>
            <w:r w:rsidRPr="00FA48CF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FA48CF">
              <w:rPr>
                <w:rFonts w:ascii="Arial" w:hAnsi="Arial" w:cs="Arial"/>
                <w:sz w:val="22"/>
                <w:szCs w:val="22"/>
              </w:rPr>
              <w:t>o</w:t>
            </w:r>
            <w:r w:rsidRPr="00FA48CF">
              <w:rPr>
                <w:rFonts w:ascii="Arial" w:hAnsi="Arial" w:cs="Arial"/>
                <w:sz w:val="22"/>
                <w:szCs w:val="22"/>
              </w:rPr>
              <w:t>rrespondientes pueden llevarse a cabo al cumplirse con los requisitos establecidos en el artículo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FA48CF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FA48CF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FA48CF">
              <w:rPr>
                <w:rFonts w:ascii="Arial" w:hAnsi="Arial" w:cs="Arial"/>
                <w:sz w:val="22"/>
                <w:szCs w:val="22"/>
              </w:rPr>
              <w:t>e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supuestaria de las Entidades Locales del Territorio Histórico de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en cuanto a su tramitación se refiere, y contar con recu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8D398A" w:rsidRDefault="008E3B57" w:rsidP="00E45284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Kontuan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hartuta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espedienteari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zein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egunetan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emango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zaion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hasiera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eta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ikusita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espediente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hau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onartzeko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prozedura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aurrekontua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onesteko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erabiltzen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den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prozedura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berbera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dela,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funtsen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kontu-hartzaileak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ohartarazten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du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agian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espediente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hau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ez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dela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amaituko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urte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hau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bukatu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baino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D398A">
              <w:rPr>
                <w:rFonts w:ascii="Arial" w:hAnsi="Arial" w:cs="Arial"/>
                <w:iCs/>
                <w:sz w:val="22"/>
                <w:szCs w:val="22"/>
              </w:rPr>
              <w:t>lehen</w:t>
            </w:r>
            <w:proofErr w:type="spellEnd"/>
            <w:r w:rsidRPr="008D398A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:rsidR="008E3B57" w:rsidRPr="008D398A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interventor de fondos advierte que, teniendo en cuenta la fecha en la que se va a iniciar este expediente y dado que el procedimiento de aprobación del mismo es igual que el de la aprobación del presupuesto, puede que el mismo no llegue a finalizarse antes de terminar el año en curso.</w:t>
            </w: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B57" w:rsidRPr="00FA48CF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8E3B57" w:rsidRPr="00FA48CF" w:rsidRDefault="008E3B57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8E3B57" w:rsidRPr="00FA48CF" w:rsidRDefault="008E3B57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B57" w:rsidRPr="00D90C72" w:rsidRDefault="008E3B57" w:rsidP="008E3B57">
      <w:pPr>
        <w:rPr>
          <w:rFonts w:ascii="Arial" w:hAnsi="Arial" w:cs="Arial"/>
          <w:sz w:val="20"/>
        </w:rPr>
      </w:pPr>
    </w:p>
    <w:p w:rsidR="008E3B57" w:rsidRPr="00614C95" w:rsidRDefault="008E3B57" w:rsidP="008E3B57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8E3B57" w:rsidRDefault="008E3B57" w:rsidP="008E3B57">
      <w:pPr>
        <w:rPr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pStyle w:val="Ttulo1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DITU GEHIGARRIEN </w:t>
            </w:r>
            <w:r>
              <w:rPr>
                <w:rFonts w:ascii="Arial" w:hAnsi="Arial" w:cs="Arial"/>
                <w:b/>
                <w:sz w:val="22"/>
                <w:u w:val="single"/>
              </w:rPr>
              <w:t>BOSTGA RREN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QUINTO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</w:t>
            </w: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413563">
              <w:rPr>
                <w:rFonts w:ascii="Arial" w:hAnsi="Arial" w:cs="Arial"/>
                <w:sz w:val="22"/>
              </w:rPr>
              <w:t>Gipuzkoako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Lurralde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Historikoko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Toki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Erakundeen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aurrekontuei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buruzko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>duaren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19ko 21/2003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Foru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Arauaren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3</w:t>
            </w:r>
            <w:r>
              <w:rPr>
                <w:rFonts w:ascii="Arial" w:hAnsi="Arial" w:cs="Arial"/>
                <w:sz w:val="22"/>
              </w:rPr>
              <w:t xml:space="preserve">4.artikuluak </w:t>
            </w:r>
            <w:proofErr w:type="spellStart"/>
            <w:r>
              <w:rPr>
                <w:rFonts w:ascii="Arial" w:hAnsi="Arial" w:cs="Arial"/>
                <w:sz w:val="22"/>
              </w:rPr>
              <w:t>dioenari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jarraituz</w:t>
            </w:r>
            <w:proofErr w:type="spellEnd"/>
            <w:r>
              <w:rPr>
                <w:rFonts w:ascii="Arial" w:hAnsi="Arial" w:cs="Arial"/>
                <w:sz w:val="22"/>
              </w:rPr>
              <w:t>; eta</w:t>
            </w:r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ondoren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</w:t>
            </w:r>
            <w:r>
              <w:rPr>
                <w:rFonts w:ascii="Arial" w:hAnsi="Arial" w:cs="Arial"/>
                <w:sz w:val="22"/>
              </w:rPr>
              <w:t>uko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diren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kontzeptu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hauei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dagozkien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egiteko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premia eta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larritasuna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hauxe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proposatzen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dut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Udal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>rrekontuko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Kreditu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Gehigarrien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bostgarren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espedientea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aipatzen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diren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zenbatekoetan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onartzea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, 20</w:t>
            </w:r>
            <w:r>
              <w:rPr>
                <w:rFonts w:ascii="Arial" w:hAnsi="Arial" w:cs="Arial"/>
                <w:sz w:val="22"/>
              </w:rPr>
              <w:t>17ko</w:t>
            </w:r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Udal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urrekontuaren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partidetan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izendatutako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kredituak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ez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baitira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behar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751" w:type="dxa"/>
          </w:tcPr>
          <w:p w:rsidR="008E3B57" w:rsidRPr="00413563" w:rsidRDefault="008E3B57" w:rsidP="00E4528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 xml:space="preserve">cales del Territorio Histórico de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Gipuzkoa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17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 xml:space="preserve">ción del </w:t>
            </w:r>
            <w:r>
              <w:rPr>
                <w:rFonts w:ascii="Arial" w:hAnsi="Arial" w:cs="Arial"/>
                <w:sz w:val="22"/>
              </w:rPr>
              <w:t>Quinto</w:t>
            </w:r>
            <w:r w:rsidRPr="00413563">
              <w:rPr>
                <w:rFonts w:ascii="Arial" w:hAnsi="Arial" w:cs="Arial"/>
                <w:sz w:val="22"/>
              </w:rPr>
              <w:t xml:space="preserve">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413563" w:rsidRDefault="008E3B57" w:rsidP="00E4528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8E3B57" w:rsidRPr="00413563" w:rsidRDefault="008E3B57" w:rsidP="00E4528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E3B57" w:rsidRPr="00044AF2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8E3B57" w:rsidRPr="00044AF2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E3B57" w:rsidRPr="00044AF2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E205B7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8E3B57" w:rsidRPr="00E205B7" w:rsidRDefault="008E3B57" w:rsidP="00E4528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8E3B57" w:rsidRPr="00044AF2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Default="008E3B57" w:rsidP="00E4528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A34F15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A34F15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FC4A39"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3B57" w:rsidRPr="00E205B7" w:rsidTr="00E4528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71" w:type="dxa"/>
          </w:tcPr>
          <w:p w:rsidR="008E3B57" w:rsidRPr="00E205B7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8E3B57" w:rsidRPr="00E205B7" w:rsidRDefault="008E3B57" w:rsidP="00E4528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8E3B57" w:rsidRPr="00E205B7" w:rsidTr="00E452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71" w:type="dxa"/>
          </w:tcPr>
          <w:p w:rsidR="008E3B57" w:rsidRPr="008847F1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Default="008E3B57" w:rsidP="00E4528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3B1F66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Inbertsio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errealak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906.15</w:t>
            </w:r>
            <w:r w:rsidRPr="00A34F15">
              <w:rPr>
                <w:rFonts w:ascii="Arial" w:hAnsi="Arial" w:cs="Arial"/>
                <w:sz w:val="20"/>
                <w:u w:val="single"/>
              </w:rPr>
              <w:t>0,00</w:t>
            </w:r>
          </w:p>
        </w:tc>
        <w:tc>
          <w:tcPr>
            <w:tcW w:w="4751" w:type="dxa"/>
          </w:tcPr>
          <w:p w:rsidR="008E3B57" w:rsidRPr="00FC4A39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</w:tbl>
    <w:p w:rsidR="008E3B57" w:rsidRPr="00D90C72" w:rsidRDefault="008E3B57" w:rsidP="008E3B57">
      <w:pPr>
        <w:rPr>
          <w:rFonts w:ascii="Arial" w:hAnsi="Arial" w:cs="Arial"/>
          <w:sz w:val="20"/>
        </w:rPr>
      </w:pPr>
    </w:p>
    <w:p w:rsidR="008E3B57" w:rsidRDefault="008E3B57" w:rsidP="008E3B57"/>
    <w:p w:rsidR="008E3B57" w:rsidRPr="00D90C72" w:rsidRDefault="008E3B57" w:rsidP="008E3B57">
      <w:pPr>
        <w:rPr>
          <w:rFonts w:ascii="Arial" w:hAnsi="Arial" w:cs="Arial"/>
          <w:sz w:val="20"/>
        </w:rPr>
      </w:pPr>
    </w:p>
    <w:p w:rsidR="008E3B57" w:rsidRPr="00044AF2" w:rsidRDefault="008E3B57" w:rsidP="008E3B57">
      <w:r>
        <w:br w:type="page"/>
      </w: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E3B57" w:rsidRPr="005A5C49" w:rsidTr="00E45284">
        <w:tc>
          <w:tcPr>
            <w:tcW w:w="487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2017ko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Aurrekontuko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bos</w:t>
            </w: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garren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  <w:proofErr w:type="spellEnd"/>
          </w:p>
        </w:tc>
        <w:tc>
          <w:tcPr>
            <w:tcW w:w="475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Quinto </w:t>
            </w: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Adicionales del Presupuesto Municipal 2017</w:t>
            </w:r>
          </w:p>
        </w:tc>
      </w:tr>
      <w:tr w:rsidR="008E3B57" w:rsidRPr="005A5C49" w:rsidTr="00E45284">
        <w:tc>
          <w:tcPr>
            <w:tcW w:w="4871" w:type="dxa"/>
          </w:tcPr>
          <w:p w:rsidR="008E3B57" w:rsidRPr="005A5C49" w:rsidRDefault="008E3B57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8E3B57" w:rsidRPr="005A5C49" w:rsidRDefault="008E3B57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3B57" w:rsidRPr="005A5C49" w:rsidTr="00E45284">
        <w:tc>
          <w:tcPr>
            <w:tcW w:w="4871" w:type="dxa"/>
          </w:tcPr>
          <w:p w:rsidR="008E3B57" w:rsidRPr="005A5C49" w:rsidRDefault="008E3B57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2017. </w:t>
            </w:r>
            <w:proofErr w:type="spellStart"/>
            <w:r w:rsidRPr="005A5C49">
              <w:rPr>
                <w:rFonts w:ascii="Arial" w:hAnsi="Arial" w:cs="Arial"/>
              </w:rPr>
              <w:t>jardunaldiko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Udal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Aurrekontuari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dagozkion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partidetan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izendatutako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kredituak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urriak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izatera</w:t>
            </w:r>
            <w:proofErr w:type="spellEnd"/>
            <w:r w:rsidRPr="005A5C49">
              <w:rPr>
                <w:rFonts w:ascii="Arial" w:hAnsi="Arial" w:cs="Arial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</w:rPr>
              <w:t>ondoren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zehazten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diren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kontzeptuengatik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egin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behar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diren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gastuak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presakotzat</w:t>
            </w:r>
            <w:proofErr w:type="spellEnd"/>
            <w:r w:rsidRPr="005A5C49">
              <w:rPr>
                <w:rFonts w:ascii="Arial" w:hAnsi="Arial" w:cs="Arial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</w:rPr>
              <w:t>premiazkotzat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hartu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dira</w:t>
            </w:r>
            <w:proofErr w:type="spellEnd"/>
            <w:r w:rsidRPr="005A5C49">
              <w:rPr>
                <w:rFonts w:ascii="Arial" w:hAnsi="Arial" w:cs="Arial"/>
              </w:rPr>
              <w:t>.</w:t>
            </w:r>
          </w:p>
        </w:tc>
        <w:tc>
          <w:tcPr>
            <w:tcW w:w="4751" w:type="dxa"/>
          </w:tcPr>
          <w:p w:rsidR="008E3B57" w:rsidRPr="005A5C49" w:rsidRDefault="008E3B57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Al ser insuficientes los créditos consignados en las correspondientes partidas del Presupuesto Municipal </w:t>
            </w:r>
            <w:r>
              <w:rPr>
                <w:rFonts w:ascii="Arial" w:hAnsi="Arial" w:cs="Arial"/>
              </w:rPr>
              <w:t>d</w:t>
            </w:r>
            <w:r w:rsidRPr="005A5C49">
              <w:rPr>
                <w:rFonts w:ascii="Arial" w:hAnsi="Arial" w:cs="Arial"/>
              </w:rPr>
              <w:t>el Ejercicio 2017; se considera la necesidad y urgencia de los gastos a realizar en los conceptos que se detallan.</w:t>
            </w:r>
          </w:p>
        </w:tc>
      </w:tr>
      <w:tr w:rsidR="008E3B57" w:rsidRPr="005A5C49" w:rsidTr="00E45284">
        <w:tc>
          <w:tcPr>
            <w:tcW w:w="487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Aurrekontuaren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bosgarren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espedientearen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alkateak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kontu-hartzaileak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txostena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ikusita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75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Vistos, la propuesta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quinto </w:t>
            </w:r>
            <w:r w:rsidRPr="005A5C49">
              <w:rPr>
                <w:rFonts w:ascii="Arial" w:hAnsi="Arial" w:cs="Arial"/>
                <w:sz w:val="22"/>
                <w:szCs w:val="22"/>
              </w:rPr>
              <w:t>expediente de créditos adicionales del Presupue</w:t>
            </w:r>
            <w:r>
              <w:rPr>
                <w:rFonts w:ascii="Arial" w:hAnsi="Arial" w:cs="Arial"/>
                <w:sz w:val="22"/>
                <w:szCs w:val="22"/>
              </w:rPr>
              <w:t>sto Municipal y el informe del i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nterventor sobre el expediente, </w:t>
            </w:r>
          </w:p>
        </w:tc>
      </w:tr>
      <w:tr w:rsidR="008E3B57" w:rsidRPr="005A5C49" w:rsidTr="00E45284">
        <w:tc>
          <w:tcPr>
            <w:tcW w:w="487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Ogasun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Ondare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Lan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batzordeak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bozkatu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zuen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Hona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hemen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bozk</w:t>
            </w:r>
            <w:r>
              <w:rPr>
                <w:rFonts w:ascii="Arial" w:hAnsi="Arial" w:cs="Arial"/>
                <w:sz w:val="22"/>
                <w:szCs w:val="22"/>
              </w:rPr>
              <w:t>etaren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emaitza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botoak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3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(Alberto Albistegui, Patricia Arrizabalaga eta</w:t>
            </w:r>
            <w:r>
              <w:rPr>
                <w:rFonts w:ascii="Arial" w:hAnsi="Arial" w:cs="Arial"/>
                <w:sz w:val="22"/>
                <w:szCs w:val="22"/>
              </w:rPr>
              <w:t xml:space="preserve"> 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Tellería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);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abstentzioak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(Gorka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Elena Ibañez, Eva Juez eta, Mª Jesus Aguirre). Horren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ondorioz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bosgarren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onartzea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eskatu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dio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Osoko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bilkurari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honako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zenbateko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hauek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dituena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</w:tcPr>
          <w:p w:rsidR="008E3B57" w:rsidRPr="005A5C49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los siguientes resultados: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votos a favor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Alberto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Albístegui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 Patricia Arrizabalaga, y</w:t>
            </w:r>
            <w:r>
              <w:rPr>
                <w:rFonts w:ascii="Arial" w:hAnsi="Arial" w:cs="Arial"/>
                <w:sz w:val="22"/>
                <w:szCs w:val="22"/>
              </w:rPr>
              <w:t xml:space="preserve"> 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Tellería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abstenciones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(Gorka Errasti, E</w:t>
            </w:r>
            <w:r>
              <w:rPr>
                <w:rFonts w:ascii="Arial" w:hAnsi="Arial" w:cs="Arial"/>
                <w:sz w:val="22"/>
                <w:szCs w:val="22"/>
              </w:rPr>
              <w:t>lena Ibañez, Eva Juez y, Mª Jesú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s Aguirre),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>quinto expediente de C</w:t>
            </w:r>
            <w:r w:rsidRPr="005A5C49">
              <w:rPr>
                <w:rFonts w:ascii="Arial" w:hAnsi="Arial" w:cs="Arial"/>
                <w:sz w:val="22"/>
                <w:szCs w:val="22"/>
              </w:rPr>
              <w:t>réditos Adicionales del Presupuesto Municipal cifrado en las siguientes cantidades:</w:t>
            </w:r>
          </w:p>
        </w:tc>
      </w:tr>
    </w:tbl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E3B57" w:rsidRPr="00FD7F3A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lastRenderedPageBreak/>
              <w:t>LABURPENA KAPITULUKA</w:t>
            </w:r>
          </w:p>
        </w:tc>
        <w:tc>
          <w:tcPr>
            <w:tcW w:w="475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8E3B57" w:rsidRPr="00FD7F3A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8E3B57" w:rsidRPr="00FD7F3A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E3B57" w:rsidRPr="00E205B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E205B7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8E3B57" w:rsidRPr="00E205B7" w:rsidRDefault="008E3B57" w:rsidP="00E4528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Default="008E3B57" w:rsidP="00E4528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8E3B57" w:rsidRPr="00A34F15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A34F15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A34F15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FC4A39"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3B57" w:rsidRPr="00E205B7" w:rsidTr="00E4528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71" w:type="dxa"/>
          </w:tcPr>
          <w:p w:rsidR="008E3B57" w:rsidRPr="00E205B7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8E3B57" w:rsidRPr="00E205B7" w:rsidRDefault="008E3B57" w:rsidP="00E4528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8E3B57" w:rsidTr="00E452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71" w:type="dxa"/>
          </w:tcPr>
          <w:p w:rsidR="008E3B57" w:rsidRPr="008847F1" w:rsidRDefault="008E3B57" w:rsidP="00E452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Default="008E3B57" w:rsidP="00E4528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8847F1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E3B57" w:rsidRPr="00FC4A39" w:rsidTr="00E45284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8E3B57" w:rsidRPr="003B1F66" w:rsidRDefault="008E3B57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Inbertsio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errealak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906.15</w:t>
            </w:r>
            <w:r w:rsidRPr="00A34F15">
              <w:rPr>
                <w:rFonts w:ascii="Arial" w:hAnsi="Arial" w:cs="Arial"/>
                <w:sz w:val="20"/>
                <w:u w:val="single"/>
              </w:rPr>
              <w:t>0,00</w:t>
            </w:r>
          </w:p>
        </w:tc>
        <w:tc>
          <w:tcPr>
            <w:tcW w:w="4751" w:type="dxa"/>
          </w:tcPr>
          <w:p w:rsidR="008E3B57" w:rsidRPr="00FC4A39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906.150,00</w:t>
            </w:r>
          </w:p>
        </w:tc>
      </w:tr>
      <w:tr w:rsidR="008E3B57" w:rsidRPr="008847F1" w:rsidTr="00E4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8E3B57" w:rsidRPr="008847F1" w:rsidRDefault="008E3B57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  <w:tc>
          <w:tcPr>
            <w:tcW w:w="4751" w:type="dxa"/>
          </w:tcPr>
          <w:p w:rsidR="008E3B57" w:rsidRPr="008847F1" w:rsidRDefault="008E3B57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906.150,00</w:t>
            </w:r>
          </w:p>
        </w:tc>
      </w:tr>
    </w:tbl>
    <w:p w:rsidR="008E3B57" w:rsidRDefault="008E3B57" w:rsidP="008E3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E3B57" w:rsidRPr="00CC6D1A" w:rsidTr="00E45284">
        <w:tc>
          <w:tcPr>
            <w:tcW w:w="4871" w:type="dxa"/>
          </w:tcPr>
          <w:p w:rsidR="008E3B57" w:rsidRPr="00213399" w:rsidRDefault="008E3B57" w:rsidP="00E45284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8E3B57" w:rsidRPr="00213399" w:rsidRDefault="008E3B57" w:rsidP="00E45284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8E3B57" w:rsidRPr="004201C9" w:rsidTr="00E45284">
        <w:tc>
          <w:tcPr>
            <w:tcW w:w="4871" w:type="dxa"/>
          </w:tcPr>
          <w:p w:rsidR="008E3B57" w:rsidRPr="00213399" w:rsidRDefault="008E3B57" w:rsidP="00E45284">
            <w:pPr>
              <w:pStyle w:val="Ttulo1"/>
              <w:tabs>
                <w:tab w:val="right" w:pos="85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Kreditu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gehigarrien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espediente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hau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Gipuzkoako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Aldizkari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Ofizialean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eman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behar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da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argitara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jendea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jakinaren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gainean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gera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dadin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</w:tc>
        <w:tc>
          <w:tcPr>
            <w:tcW w:w="4751" w:type="dxa"/>
          </w:tcPr>
          <w:p w:rsidR="008E3B57" w:rsidRPr="00213399" w:rsidRDefault="008E3B57" w:rsidP="00E45284">
            <w:pPr>
              <w:pStyle w:val="Ttulo1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Asimismo el presente expediente de créditos adicionales, deberá publicarse en el Boletín Oficial de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Gipuzkoa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para su información pública.</w:t>
            </w:r>
          </w:p>
        </w:tc>
      </w:tr>
      <w:tr w:rsidR="008E3B57" w:rsidRPr="004201C9" w:rsidTr="00E45284">
        <w:tc>
          <w:tcPr>
            <w:tcW w:w="4871" w:type="dxa"/>
          </w:tcPr>
          <w:p w:rsidR="008E3B57" w:rsidRPr="00213399" w:rsidRDefault="008E3B57" w:rsidP="00E45284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8E3B57" w:rsidRPr="00213399" w:rsidRDefault="008E3B57" w:rsidP="00E45284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8E3B57" w:rsidRPr="00562613" w:rsidRDefault="008E3B57" w:rsidP="008E3B57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E3B57" w:rsidRPr="0056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57" w:rsidRDefault="008E3B57" w:rsidP="00E12DC5">
      <w:r>
        <w:separator/>
      </w:r>
    </w:p>
  </w:endnote>
  <w:endnote w:type="continuationSeparator" w:id="0">
    <w:p w:rsidR="008E3B57" w:rsidRDefault="008E3B57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57" w:rsidRPr="007947C0" w:rsidRDefault="008E3B57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PRESUP\2017\KRED GEHIGARR-ADICIONAL2017\5CRED.ADICION.17.doc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57" w:rsidRDefault="008E3B57" w:rsidP="00E12DC5">
      <w:r>
        <w:separator/>
      </w:r>
    </w:p>
  </w:footnote>
  <w:footnote w:type="continuationSeparator" w:id="0">
    <w:p w:rsidR="008E3B57" w:rsidRDefault="008E3B57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7"/>
    <w:rsid w:val="00763026"/>
    <w:rsid w:val="008E3B57"/>
    <w:rsid w:val="00E12DC5"/>
    <w:rsid w:val="00E25753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7D63-40A5-4BC4-95DC-3B2FEB5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E3B57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E3B57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8E3B57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character" w:customStyle="1" w:styleId="Ttulo1Car">
    <w:name w:val="Título 1 Car"/>
    <w:basedOn w:val="Fuentedeprrafopredeter"/>
    <w:link w:val="Ttulo1"/>
    <w:rsid w:val="008E3B57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E3B57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E3B57"/>
    <w:rPr>
      <w:rFonts w:ascii="Times New Roman" w:eastAsia="Times New Roman" w:hAnsi="Times New Roman" w:cs="Times New Roman"/>
      <w:b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A438455C</Template>
  <TotalTime>6</TotalTime>
  <Pages>5</Pages>
  <Words>1055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2018-01-03T13:01:00Z</dcterms:created>
  <dcterms:modified xsi:type="dcterms:W3CDTF">2018-01-03T13:07:00Z</dcterms:modified>
</cp:coreProperties>
</file>