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335220" w:rsidRPr="00335220" w:rsidTr="00335220">
        <w:tc>
          <w:tcPr>
            <w:tcW w:w="4870" w:type="dxa"/>
          </w:tcPr>
          <w:p w:rsidR="00335220" w:rsidRPr="006343CA" w:rsidRDefault="006E48C2" w:rsidP="00335220">
            <w:pPr>
              <w:rPr>
                <w:rFonts w:cs="Arial"/>
                <w:szCs w:val="22"/>
                <w:u w:val="single"/>
              </w:rPr>
            </w:pPr>
            <w:r>
              <w:rPr>
                <w:rFonts w:cs="Arial"/>
                <w:szCs w:val="22"/>
                <w:u w:val="single"/>
              </w:rPr>
              <w:t>UDAL BATZARRA 2018-06-26</w:t>
            </w:r>
          </w:p>
        </w:tc>
        <w:tc>
          <w:tcPr>
            <w:tcW w:w="4751" w:type="dxa"/>
            <w:shd w:val="clear" w:color="auto" w:fill="auto"/>
          </w:tcPr>
          <w:p w:rsidR="00335220" w:rsidRPr="00335220" w:rsidRDefault="006E48C2" w:rsidP="00335220">
            <w:pPr>
              <w:rPr>
                <w:rFonts w:cs="Arial"/>
                <w:szCs w:val="22"/>
                <w:u w:val="single"/>
              </w:rPr>
            </w:pPr>
            <w:r>
              <w:rPr>
                <w:rFonts w:cs="Arial"/>
                <w:szCs w:val="22"/>
                <w:u w:val="single"/>
              </w:rPr>
              <w:t>PLENO MUNICIPAL 26-06-2018</w:t>
            </w:r>
          </w:p>
        </w:tc>
      </w:tr>
      <w:tr w:rsidR="00335220" w:rsidRPr="00335220" w:rsidTr="00335220">
        <w:tc>
          <w:tcPr>
            <w:tcW w:w="4870" w:type="dxa"/>
          </w:tcPr>
          <w:p w:rsidR="00335220" w:rsidRPr="006343CA" w:rsidRDefault="00335220" w:rsidP="00335220">
            <w:pPr>
              <w:rPr>
                <w:rFonts w:cs="Arial"/>
                <w:szCs w:val="22"/>
                <w:u w:val="single"/>
              </w:rPr>
            </w:pPr>
          </w:p>
        </w:tc>
        <w:tc>
          <w:tcPr>
            <w:tcW w:w="4751" w:type="dxa"/>
            <w:shd w:val="clear" w:color="auto" w:fill="auto"/>
          </w:tcPr>
          <w:p w:rsidR="00335220" w:rsidRPr="00335220" w:rsidRDefault="00335220" w:rsidP="00335220">
            <w:pPr>
              <w:rPr>
                <w:rFonts w:cs="Arial"/>
                <w:szCs w:val="22"/>
                <w:u w:val="single"/>
              </w:rPr>
            </w:pPr>
          </w:p>
        </w:tc>
      </w:tr>
      <w:tr w:rsidR="00335220" w:rsidRPr="00335220" w:rsidTr="00335220">
        <w:tc>
          <w:tcPr>
            <w:tcW w:w="4870" w:type="dxa"/>
          </w:tcPr>
          <w:p w:rsidR="00335220" w:rsidRPr="006343CA" w:rsidRDefault="00335220" w:rsidP="00335220">
            <w:pPr>
              <w:rPr>
                <w:rFonts w:cs="Arial"/>
                <w:szCs w:val="22"/>
                <w:u w:val="single"/>
              </w:rPr>
            </w:pPr>
          </w:p>
        </w:tc>
        <w:tc>
          <w:tcPr>
            <w:tcW w:w="4751" w:type="dxa"/>
            <w:shd w:val="clear" w:color="auto" w:fill="auto"/>
          </w:tcPr>
          <w:p w:rsidR="00335220" w:rsidRPr="00335220" w:rsidRDefault="00335220" w:rsidP="00335220">
            <w:pPr>
              <w:rPr>
                <w:rFonts w:cs="Arial"/>
                <w:szCs w:val="22"/>
                <w:u w:val="single"/>
              </w:rPr>
            </w:pPr>
          </w:p>
        </w:tc>
      </w:tr>
      <w:tr w:rsidR="00335220" w:rsidRPr="00335220" w:rsidTr="00335220">
        <w:tc>
          <w:tcPr>
            <w:tcW w:w="4870" w:type="dxa"/>
          </w:tcPr>
          <w:p w:rsidR="00335220" w:rsidRPr="006343CA" w:rsidRDefault="00335220" w:rsidP="00335220">
            <w:pPr>
              <w:rPr>
                <w:rFonts w:cs="Arial"/>
                <w:szCs w:val="22"/>
                <w:u w:val="single"/>
              </w:rPr>
            </w:pPr>
            <w:r w:rsidRPr="006343CA">
              <w:rPr>
                <w:rFonts w:cs="Arial"/>
                <w:szCs w:val="22"/>
                <w:u w:val="single"/>
                <w:lang w:val="eu-ES"/>
              </w:rPr>
              <w:t xml:space="preserve">Kudeaketa-gomendio materialari buruzko hitzarmena, Eibarko Udalaren eta Polizia eta Larrialdietako Euskal Akademiaren artekoa, Tokiko Poliziaren oinarrizko eskalako agente kategorian sartzeko hautaketa-prozesuak kudeatzeko. </w:t>
            </w:r>
          </w:p>
        </w:tc>
        <w:tc>
          <w:tcPr>
            <w:tcW w:w="4751" w:type="dxa"/>
            <w:shd w:val="clear" w:color="auto" w:fill="auto"/>
          </w:tcPr>
          <w:p w:rsidR="00335220" w:rsidRPr="00335220" w:rsidRDefault="00335220" w:rsidP="00335220">
            <w:pPr>
              <w:rPr>
                <w:rFonts w:cs="Arial"/>
                <w:szCs w:val="22"/>
                <w:u w:val="single"/>
              </w:rPr>
            </w:pPr>
            <w:r w:rsidRPr="00335220">
              <w:rPr>
                <w:rFonts w:cs="Arial"/>
                <w:szCs w:val="22"/>
                <w:u w:val="single"/>
              </w:rPr>
              <w:t>Convenio de encomienda de gestión material entre el Ayuntamiento de Eibar y la Academia Vasca de Policía y Emergencias para la gestión de los procesos selectivos de ingreso en la categoría de Agente de la Escala Básica de Policía Local.</w:t>
            </w:r>
          </w:p>
        </w:tc>
      </w:tr>
      <w:tr w:rsidR="00335220" w:rsidRPr="00335220" w:rsidTr="00335220">
        <w:tc>
          <w:tcPr>
            <w:tcW w:w="4870" w:type="dxa"/>
          </w:tcPr>
          <w:p w:rsidR="00335220" w:rsidRPr="006343CA" w:rsidRDefault="00335220" w:rsidP="00335220">
            <w:pPr>
              <w:rPr>
                <w:rFonts w:cs="Arial"/>
                <w:szCs w:val="22"/>
                <w:u w:val="single"/>
              </w:rPr>
            </w:pPr>
          </w:p>
        </w:tc>
        <w:tc>
          <w:tcPr>
            <w:tcW w:w="4751" w:type="dxa"/>
            <w:shd w:val="clear" w:color="auto" w:fill="auto"/>
          </w:tcPr>
          <w:p w:rsidR="00335220" w:rsidRPr="00335220" w:rsidRDefault="00335220" w:rsidP="00335220">
            <w:pPr>
              <w:rPr>
                <w:rFonts w:cs="Arial"/>
                <w:szCs w:val="22"/>
                <w:u w:val="single"/>
              </w:rPr>
            </w:pP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“Antolaketa eta Pertsonal zuzendariak aurkeztu duen Hitzarmenaren berri eman da, baita Idazkariak 2018ko maiatzaren 29an egindako txostenaren berri ere.</w:t>
            </w:r>
          </w:p>
        </w:tc>
        <w:tc>
          <w:tcPr>
            <w:tcW w:w="4751" w:type="dxa"/>
            <w:shd w:val="clear" w:color="auto" w:fill="auto"/>
          </w:tcPr>
          <w:p w:rsidR="00335220" w:rsidRPr="00335220" w:rsidRDefault="00335220" w:rsidP="00335220">
            <w:pPr>
              <w:rPr>
                <w:rFonts w:cs="Arial"/>
                <w:szCs w:val="22"/>
              </w:rPr>
            </w:pPr>
            <w:r w:rsidRPr="00335220">
              <w:rPr>
                <w:rFonts w:cs="Arial"/>
                <w:szCs w:val="22"/>
              </w:rPr>
              <w:t>“Se da cuenta del Convenio presentado por la directora de Organización y Personal, así como del informe de la Secretaria de 29 de mayo de 2018.</w:t>
            </w: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335220" w:rsidP="006E48C2">
            <w:pPr>
              <w:pStyle w:val="go"/>
              <w:rPr>
                <w:rFonts w:ascii="Arial" w:hAnsi="Arial" w:cs="Arial"/>
                <w:szCs w:val="22"/>
              </w:rPr>
            </w:pPr>
            <w:r w:rsidRPr="006343CA">
              <w:rPr>
                <w:rFonts w:ascii="Arial" w:hAnsi="Arial" w:cs="Arial"/>
                <w:szCs w:val="22"/>
                <w:lang w:val="eu-ES"/>
              </w:rPr>
              <w:t xml:space="preserve">Gaia bozkatu da. Horren ondorioz, Udalbatzari eskatzen zaio onar dezala honako proposamen hau: </w:t>
            </w:r>
          </w:p>
        </w:tc>
        <w:tc>
          <w:tcPr>
            <w:tcW w:w="4751" w:type="dxa"/>
            <w:shd w:val="clear" w:color="auto" w:fill="auto"/>
          </w:tcPr>
          <w:p w:rsidR="00335220" w:rsidRPr="00335220" w:rsidRDefault="00335220" w:rsidP="006E48C2">
            <w:pPr>
              <w:pStyle w:val="go"/>
              <w:rPr>
                <w:rFonts w:ascii="Arial" w:hAnsi="Arial" w:cs="Arial"/>
                <w:szCs w:val="22"/>
              </w:rPr>
            </w:pPr>
            <w:r w:rsidRPr="00335220">
              <w:rPr>
                <w:rFonts w:ascii="Arial" w:hAnsi="Arial" w:cs="Arial"/>
                <w:szCs w:val="22"/>
              </w:rPr>
              <w:t>Sometido a votación,  se propone al Pleno Municipal, apruebe la siguiente propuesta:</w:t>
            </w: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 xml:space="preserve">“Alkatetzaren Memoria ikusita, zeinak 2017ko enplegu-eskaintzako Udaltzaingoko Agente lanpostuko bost plazaren hautaketa-prozesua Arkauteko Akademiak kudeatzeko gomendioari buruzko Hitzarmena onartzeko eta formalizatzeko proposamena egiten duen. </w:t>
            </w:r>
          </w:p>
        </w:tc>
        <w:tc>
          <w:tcPr>
            <w:tcW w:w="4751" w:type="dxa"/>
            <w:shd w:val="clear" w:color="auto" w:fill="auto"/>
          </w:tcPr>
          <w:p w:rsidR="00335220" w:rsidRPr="00335220" w:rsidRDefault="00335220" w:rsidP="00335220">
            <w:pPr>
              <w:rPr>
                <w:rFonts w:cs="Arial"/>
                <w:szCs w:val="22"/>
              </w:rPr>
            </w:pPr>
            <w:r w:rsidRPr="00335220">
              <w:rPr>
                <w:rFonts w:cs="Arial"/>
                <w:szCs w:val="22"/>
              </w:rPr>
              <w:t xml:space="preserve">“Vista la Memoria de Alcaldía por la que se propone aprobar y formalizar convenio de encomienda de gestión del proceso selectivo de cinco plazas de Agente Policía Municipal, resultantes de la oferta de empleo 2017, a la Academia </w:t>
            </w:r>
            <w:proofErr w:type="spellStart"/>
            <w:r w:rsidRPr="00335220">
              <w:rPr>
                <w:rFonts w:cs="Arial"/>
                <w:szCs w:val="22"/>
              </w:rPr>
              <w:t>Arkaute</w:t>
            </w:r>
            <w:proofErr w:type="spellEnd"/>
            <w:r w:rsidRPr="00335220">
              <w:rPr>
                <w:rFonts w:cs="Arial"/>
                <w:szCs w:val="22"/>
              </w:rPr>
              <w:t>.</w:t>
            </w: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Proposatutako hitzarmena eta Idazkari Orokorrak egin duen txostena ikusita,</w:t>
            </w:r>
          </w:p>
        </w:tc>
        <w:tc>
          <w:tcPr>
            <w:tcW w:w="4751" w:type="dxa"/>
            <w:shd w:val="clear" w:color="auto" w:fill="auto"/>
          </w:tcPr>
          <w:p w:rsidR="00335220" w:rsidRPr="00335220" w:rsidRDefault="00335220" w:rsidP="00335220">
            <w:pPr>
              <w:rPr>
                <w:rFonts w:cs="Arial"/>
                <w:szCs w:val="22"/>
              </w:rPr>
            </w:pPr>
            <w:r w:rsidRPr="00335220">
              <w:rPr>
                <w:rFonts w:cs="Arial"/>
                <w:szCs w:val="22"/>
              </w:rPr>
              <w:t>Visto el Convenio propuesto y leído el informe de la Secretaria General.</w:t>
            </w: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 xml:space="preserve">Hitzarmen hori onartzea eta formalizatzea Udalaren </w:t>
            </w:r>
            <w:proofErr w:type="spellStart"/>
            <w:r w:rsidRPr="006343CA">
              <w:rPr>
                <w:rFonts w:cs="Arial"/>
                <w:szCs w:val="22"/>
                <w:lang w:val="eu-ES"/>
              </w:rPr>
              <w:t>interesekoa</w:t>
            </w:r>
            <w:proofErr w:type="spellEnd"/>
            <w:r w:rsidRPr="006343CA">
              <w:rPr>
                <w:rFonts w:cs="Arial"/>
                <w:szCs w:val="22"/>
                <w:lang w:val="eu-ES"/>
              </w:rPr>
              <w:t xml:space="preserve"> delakoan,</w:t>
            </w:r>
          </w:p>
        </w:tc>
        <w:tc>
          <w:tcPr>
            <w:tcW w:w="4751" w:type="dxa"/>
            <w:shd w:val="clear" w:color="auto" w:fill="auto"/>
          </w:tcPr>
          <w:p w:rsidR="00335220" w:rsidRPr="00335220" w:rsidRDefault="00335220" w:rsidP="00335220">
            <w:pPr>
              <w:rPr>
                <w:rFonts w:cs="Arial"/>
                <w:szCs w:val="22"/>
              </w:rPr>
            </w:pPr>
            <w:r w:rsidRPr="00335220">
              <w:rPr>
                <w:rFonts w:cs="Arial"/>
                <w:szCs w:val="22"/>
              </w:rPr>
              <w:t>Considerando de interés municipal la aprobación y formalización del referido Convenio.</w:t>
            </w: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 xml:space="preserve">Sektore Publikoko Araubide Juridikoari buruzko 40/2015 Legearen 11. artikulua </w:t>
            </w:r>
            <w:r w:rsidRPr="006343CA">
              <w:rPr>
                <w:rFonts w:cs="Arial"/>
                <w:szCs w:val="22"/>
                <w:lang w:val="eu-ES"/>
              </w:rPr>
              <w:lastRenderedPageBreak/>
              <w:t>aplikatuta, erabaki hauek hartu dira:</w:t>
            </w:r>
          </w:p>
        </w:tc>
        <w:tc>
          <w:tcPr>
            <w:tcW w:w="4751" w:type="dxa"/>
            <w:shd w:val="clear" w:color="auto" w:fill="auto"/>
          </w:tcPr>
          <w:p w:rsidR="00335220" w:rsidRPr="00335220" w:rsidRDefault="00335220" w:rsidP="00335220">
            <w:pPr>
              <w:rPr>
                <w:rFonts w:cs="Arial"/>
                <w:szCs w:val="22"/>
              </w:rPr>
            </w:pPr>
            <w:r w:rsidRPr="00335220">
              <w:rPr>
                <w:rFonts w:cs="Arial"/>
                <w:szCs w:val="22"/>
              </w:rPr>
              <w:lastRenderedPageBreak/>
              <w:t xml:space="preserve">En aplicación del artículo 11 de la Ley 40/2015 del Régimen Jurídico del Sector </w:t>
            </w:r>
            <w:r w:rsidRPr="00335220">
              <w:rPr>
                <w:rFonts w:cs="Arial"/>
                <w:szCs w:val="22"/>
              </w:rPr>
              <w:lastRenderedPageBreak/>
              <w:t>Público, se acuerda:</w:t>
            </w: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Aurrena:</w:t>
            </w:r>
            <w:r w:rsidRPr="006343CA">
              <w:rPr>
                <w:rFonts w:cs="Arial"/>
                <w:szCs w:val="22"/>
              </w:rPr>
              <w:t xml:space="preserve"> </w:t>
            </w:r>
            <w:r w:rsidRPr="006343CA">
              <w:rPr>
                <w:rFonts w:cs="Arial"/>
                <w:szCs w:val="22"/>
                <w:lang w:val="eu-ES"/>
              </w:rPr>
              <w:t xml:space="preserve">  kudeaketa-gomendio materialari buruzko Hitzarmena </w:t>
            </w:r>
            <w:r w:rsidRPr="006343CA">
              <w:rPr>
                <w:rFonts w:cs="Arial"/>
                <w:szCs w:val="22"/>
              </w:rPr>
              <w:t>o</w:t>
            </w:r>
            <w:proofErr w:type="spellStart"/>
            <w:r w:rsidRPr="006343CA">
              <w:rPr>
                <w:rFonts w:cs="Arial"/>
                <w:szCs w:val="22"/>
                <w:lang w:val="eu-ES"/>
              </w:rPr>
              <w:t>nartzea</w:t>
            </w:r>
            <w:proofErr w:type="spellEnd"/>
            <w:r w:rsidRPr="006343CA">
              <w:rPr>
                <w:rFonts w:cs="Arial"/>
                <w:szCs w:val="22"/>
                <w:lang w:val="eu-ES"/>
              </w:rPr>
              <w:t xml:space="preserve">, Eibarko Udalaren eta Polizia eta Larrialdietako Euskal Akademiaren artekoa, Tokiko Poliziaren oinarrizko eskalako agente kategorian sartzeko bost plazaren hautaketa-prozesua kudeatzeko. </w:t>
            </w:r>
          </w:p>
        </w:tc>
        <w:tc>
          <w:tcPr>
            <w:tcW w:w="4751" w:type="dxa"/>
            <w:shd w:val="clear" w:color="auto" w:fill="auto"/>
          </w:tcPr>
          <w:p w:rsidR="00335220" w:rsidRPr="00335220" w:rsidRDefault="00335220" w:rsidP="00335220">
            <w:pPr>
              <w:rPr>
                <w:rFonts w:cs="Arial"/>
                <w:szCs w:val="22"/>
              </w:rPr>
            </w:pPr>
            <w:r w:rsidRPr="00335220">
              <w:rPr>
                <w:rFonts w:cs="Arial"/>
                <w:szCs w:val="22"/>
              </w:rPr>
              <w:t>Primero: aprobar el Convenio de encomienda de gestión material entre el Ayuntamiento de Eibar y la Academia vasca de Policía y Emergencias para la gestión de los procesos selectivos de ingreso de cinco plazas de Agente de la Escala Básica de Policía Local.</w:t>
            </w: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Hurrena:</w:t>
            </w:r>
            <w:r w:rsidRPr="006343CA">
              <w:rPr>
                <w:rFonts w:cs="Arial"/>
                <w:szCs w:val="22"/>
              </w:rPr>
              <w:t xml:space="preserve"> </w:t>
            </w:r>
            <w:r w:rsidRPr="006343CA">
              <w:rPr>
                <w:rFonts w:cs="Arial"/>
                <w:szCs w:val="22"/>
                <w:lang w:val="eu-ES"/>
              </w:rPr>
              <w:t>alkate jaunari esandako Hitzarmen hori izenpetzeko baimena ematea.</w:t>
            </w:r>
          </w:p>
        </w:tc>
        <w:tc>
          <w:tcPr>
            <w:tcW w:w="4751" w:type="dxa"/>
            <w:shd w:val="clear" w:color="auto" w:fill="auto"/>
          </w:tcPr>
          <w:p w:rsidR="00335220" w:rsidRPr="00335220" w:rsidRDefault="00335220" w:rsidP="00335220">
            <w:pPr>
              <w:rPr>
                <w:rFonts w:cs="Arial"/>
                <w:szCs w:val="22"/>
              </w:rPr>
            </w:pPr>
            <w:r w:rsidRPr="00335220">
              <w:rPr>
                <w:rFonts w:cs="Arial"/>
                <w:szCs w:val="22"/>
              </w:rPr>
              <w:t>Segundo: autorizar al señor Alcalde para la firma del antedicho Convenio.</w:t>
            </w: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Azkena: Hitzarmena Gipuzkoako Buletin Ofizialean ematea argitara.”</w:t>
            </w:r>
          </w:p>
        </w:tc>
        <w:tc>
          <w:tcPr>
            <w:tcW w:w="4751" w:type="dxa"/>
            <w:shd w:val="clear" w:color="auto" w:fill="auto"/>
          </w:tcPr>
          <w:p w:rsidR="00335220" w:rsidRPr="00335220" w:rsidRDefault="00335220" w:rsidP="00335220">
            <w:pPr>
              <w:rPr>
                <w:rFonts w:cs="Arial"/>
                <w:szCs w:val="22"/>
              </w:rPr>
            </w:pPr>
            <w:r w:rsidRPr="00335220">
              <w:rPr>
                <w:rFonts w:cs="Arial"/>
                <w:szCs w:val="22"/>
              </w:rPr>
              <w:t>Tercero: disponer la publicación del Convenio en el Boletín Oficial de Gipuzkoa.”</w:t>
            </w: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335220" w:rsidP="00335220">
            <w:pPr>
              <w:rPr>
                <w:rFonts w:cs="Arial"/>
                <w:szCs w:val="22"/>
                <w:u w:val="single"/>
              </w:rPr>
            </w:pPr>
            <w:r w:rsidRPr="006343CA">
              <w:rPr>
                <w:rFonts w:cs="Arial"/>
                <w:szCs w:val="22"/>
                <w:u w:val="single"/>
                <w:lang w:val="eu-ES"/>
              </w:rPr>
              <w:t>PERTSONAL SAILA.</w:t>
            </w:r>
          </w:p>
        </w:tc>
        <w:tc>
          <w:tcPr>
            <w:tcW w:w="4751" w:type="dxa"/>
            <w:shd w:val="clear" w:color="auto" w:fill="auto"/>
          </w:tcPr>
          <w:p w:rsidR="00335220" w:rsidRPr="00335220" w:rsidRDefault="00335220" w:rsidP="00335220">
            <w:pPr>
              <w:rPr>
                <w:rFonts w:cs="Arial"/>
                <w:szCs w:val="22"/>
                <w:u w:val="single"/>
              </w:rPr>
            </w:pPr>
            <w:r w:rsidRPr="00335220">
              <w:rPr>
                <w:rFonts w:cs="Arial"/>
                <w:szCs w:val="22"/>
                <w:u w:val="single"/>
              </w:rPr>
              <w:t>PERSONAL</w:t>
            </w:r>
          </w:p>
        </w:tc>
      </w:tr>
      <w:tr w:rsidR="00335220" w:rsidRPr="00335220" w:rsidTr="00335220">
        <w:tc>
          <w:tcPr>
            <w:tcW w:w="4870" w:type="dxa"/>
          </w:tcPr>
          <w:p w:rsidR="00335220" w:rsidRPr="006343CA" w:rsidRDefault="00335220" w:rsidP="00335220">
            <w:pPr>
              <w:rPr>
                <w:rFonts w:cs="Arial"/>
                <w:szCs w:val="22"/>
                <w:u w:val="single"/>
              </w:rPr>
            </w:pPr>
          </w:p>
        </w:tc>
        <w:tc>
          <w:tcPr>
            <w:tcW w:w="4751" w:type="dxa"/>
            <w:shd w:val="clear" w:color="auto" w:fill="auto"/>
          </w:tcPr>
          <w:p w:rsidR="00335220" w:rsidRPr="00335220" w:rsidRDefault="00335220" w:rsidP="00335220">
            <w:pPr>
              <w:rPr>
                <w:rFonts w:cs="Arial"/>
                <w:szCs w:val="22"/>
                <w:u w:val="single"/>
              </w:rPr>
            </w:pPr>
          </w:p>
        </w:tc>
      </w:tr>
      <w:tr w:rsidR="00335220" w:rsidRPr="00335220" w:rsidTr="00335220">
        <w:tc>
          <w:tcPr>
            <w:tcW w:w="4870" w:type="dxa"/>
          </w:tcPr>
          <w:p w:rsidR="00335220" w:rsidRPr="006343CA" w:rsidRDefault="00335220" w:rsidP="00335220">
            <w:pPr>
              <w:rPr>
                <w:rFonts w:cs="Arial"/>
                <w:szCs w:val="22"/>
                <w:u w:val="single"/>
              </w:rPr>
            </w:pPr>
            <w:r w:rsidRPr="006343CA">
              <w:rPr>
                <w:rFonts w:cs="Arial"/>
                <w:szCs w:val="22"/>
                <w:u w:val="single"/>
                <w:lang w:val="eu-ES"/>
              </w:rPr>
              <w:t xml:space="preserve">Udal Lantaldearen 2018ko produktibitate-osagarriak onartzea. </w:t>
            </w:r>
          </w:p>
        </w:tc>
        <w:tc>
          <w:tcPr>
            <w:tcW w:w="4751" w:type="dxa"/>
            <w:shd w:val="clear" w:color="auto" w:fill="auto"/>
          </w:tcPr>
          <w:p w:rsidR="00335220" w:rsidRPr="00335220" w:rsidRDefault="00335220" w:rsidP="00335220">
            <w:pPr>
              <w:rPr>
                <w:rFonts w:cs="Arial"/>
                <w:szCs w:val="22"/>
                <w:u w:val="single"/>
              </w:rPr>
            </w:pPr>
            <w:r w:rsidRPr="00335220">
              <w:rPr>
                <w:rFonts w:cs="Arial"/>
                <w:szCs w:val="22"/>
                <w:u w:val="single"/>
              </w:rPr>
              <w:t>Aprobación de los siguientes complementos de productividad de la Brigada Municipal correspondiente al año 2018</w:t>
            </w: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C4596A" w:rsidP="00335220">
            <w:pPr>
              <w:rPr>
                <w:rFonts w:cs="Arial"/>
                <w:szCs w:val="22"/>
              </w:rPr>
            </w:pPr>
            <w:r>
              <w:rPr>
                <w:rFonts w:cs="Arial"/>
                <w:szCs w:val="22"/>
                <w:lang w:val="eu-ES"/>
              </w:rPr>
              <w:t>“Zerbitzu Sailak egindako proposamenak Mantentze lantaldeko langileen 2017. urteko  produktibitateari buruzko ebaluazioa dakar, Zerbitzu Alorreko Arduradunak eta Mantentze Lantaldeko Arduradunak egindakoa,  Mantentze Lantaldeari Produktibitate Osagarria emateko akordioan aurreikusitakoaren arabera egindakoa. Horren aurrean, Pertsonal Lan Batzordeak proposamen hau egiten dio Udal Osoko bilkurari:</w:t>
            </w:r>
          </w:p>
        </w:tc>
        <w:tc>
          <w:tcPr>
            <w:tcW w:w="4751" w:type="dxa"/>
            <w:shd w:val="clear" w:color="auto" w:fill="auto"/>
          </w:tcPr>
          <w:p w:rsidR="00335220" w:rsidRPr="00335220" w:rsidRDefault="00335220" w:rsidP="00335220">
            <w:pPr>
              <w:rPr>
                <w:rFonts w:cs="Arial"/>
                <w:szCs w:val="22"/>
              </w:rPr>
            </w:pPr>
            <w:r w:rsidRPr="00335220">
              <w:rPr>
                <w:rFonts w:cs="Arial"/>
                <w:szCs w:val="22"/>
                <w:lang w:val="es-ES"/>
              </w:rPr>
              <w:t xml:space="preserve">“A la vista de la propuesta presentada por el Área de Servicios sobre la evaluación de la productividad del personal de la Brigada de Mantenimiento durante el año 2017, realizada por el Responsable del Área de Servicios y el Encargado de la Brigada de Mantenimiento, según lo previsto en el Acuerdo sobre el Complemento de Productividad a la Brigada de Mantenimiento, </w:t>
            </w:r>
            <w:r w:rsidRPr="00335220">
              <w:rPr>
                <w:rFonts w:eastAsia="Batang" w:cs="Arial"/>
                <w:szCs w:val="22"/>
              </w:rPr>
              <w:t>la Comisión de Trabajo de Personal propone para Pleno</w:t>
            </w: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2018ko urteari dagozkion produktibitate-osagarriak onartzea; hain zuzen ere, irizpen honi erantsitako agirian jasotakoak.</w:t>
            </w:r>
          </w:p>
        </w:tc>
        <w:tc>
          <w:tcPr>
            <w:tcW w:w="4751" w:type="dxa"/>
            <w:shd w:val="clear" w:color="auto" w:fill="auto"/>
          </w:tcPr>
          <w:p w:rsidR="00335220" w:rsidRPr="00335220" w:rsidRDefault="00335220" w:rsidP="00335220">
            <w:pPr>
              <w:rPr>
                <w:rFonts w:cs="Arial"/>
                <w:szCs w:val="22"/>
              </w:rPr>
            </w:pPr>
            <w:r w:rsidRPr="00335220">
              <w:rPr>
                <w:rFonts w:cs="Arial"/>
                <w:szCs w:val="22"/>
              </w:rPr>
              <w:t>Aprobar los complementos de productividad correspondientes al año 2018 recogidos en el documento adjunto.</w:t>
            </w:r>
          </w:p>
        </w:tc>
      </w:tr>
      <w:tr w:rsidR="00335220" w:rsidRPr="00335220" w:rsidTr="00335220">
        <w:tc>
          <w:tcPr>
            <w:tcW w:w="4870" w:type="dxa"/>
          </w:tcPr>
          <w:p w:rsidR="00335220" w:rsidRPr="006343CA" w:rsidRDefault="00335220" w:rsidP="00335220">
            <w:pPr>
              <w:rPr>
                <w:rFonts w:cs="Arial"/>
                <w:szCs w:val="22"/>
              </w:rPr>
            </w:pPr>
          </w:p>
        </w:tc>
        <w:tc>
          <w:tcPr>
            <w:tcW w:w="4751" w:type="dxa"/>
            <w:shd w:val="clear" w:color="auto" w:fill="auto"/>
          </w:tcPr>
          <w:p w:rsidR="00335220" w:rsidRPr="00335220" w:rsidRDefault="00335220" w:rsidP="00335220">
            <w:pPr>
              <w:rPr>
                <w:rFonts w:cs="Arial"/>
                <w:szCs w:val="22"/>
              </w:rPr>
            </w:pPr>
          </w:p>
        </w:tc>
      </w:tr>
      <w:tr w:rsidR="00335220" w:rsidRPr="00335220" w:rsidTr="00335220">
        <w:tc>
          <w:tcPr>
            <w:tcW w:w="4870" w:type="dxa"/>
          </w:tcPr>
          <w:p w:rsidR="00335220" w:rsidRPr="006343CA" w:rsidRDefault="00335220" w:rsidP="00335220">
            <w:pPr>
              <w:rPr>
                <w:rFonts w:cs="Arial"/>
                <w:szCs w:val="22"/>
              </w:rPr>
            </w:pPr>
            <w:r w:rsidRPr="006343CA">
              <w:rPr>
                <w:rFonts w:cs="Arial"/>
                <w:szCs w:val="22"/>
                <w:lang w:val="eu-ES"/>
              </w:rPr>
              <w:t>Agerian utzi da produktibitate-osagarria aplikatzen dela lanpostuen balorazio berria onartzen ez den bitartean</w:t>
            </w:r>
            <w:r w:rsidR="006E48C2">
              <w:rPr>
                <w:rFonts w:cs="Arial"/>
                <w:szCs w:val="22"/>
                <w:lang w:val="eu-ES"/>
              </w:rPr>
              <w:t>.”</w:t>
            </w:r>
            <w:bookmarkStart w:id="0" w:name="_GoBack"/>
            <w:bookmarkEnd w:id="0"/>
          </w:p>
        </w:tc>
        <w:tc>
          <w:tcPr>
            <w:tcW w:w="4751" w:type="dxa"/>
            <w:shd w:val="clear" w:color="auto" w:fill="auto"/>
          </w:tcPr>
          <w:p w:rsidR="00335220" w:rsidRPr="00335220" w:rsidRDefault="00335220" w:rsidP="00335220">
            <w:pPr>
              <w:rPr>
                <w:rFonts w:cs="Arial"/>
                <w:szCs w:val="22"/>
              </w:rPr>
            </w:pPr>
            <w:r w:rsidRPr="00335220">
              <w:rPr>
                <w:rFonts w:cs="Arial"/>
                <w:szCs w:val="22"/>
              </w:rPr>
              <w:t>Se pone de manifiesto que el complemento productividad se aplica en tanto no esté aprobada la nueva valoración de puestos de trabajo.</w:t>
            </w:r>
            <w:r w:rsidR="006E48C2">
              <w:rPr>
                <w:rFonts w:cs="Arial"/>
                <w:szCs w:val="22"/>
              </w:rPr>
              <w:t>”</w:t>
            </w:r>
          </w:p>
        </w:tc>
      </w:tr>
      <w:tr w:rsidR="00335220" w:rsidRPr="00335220" w:rsidTr="00335220">
        <w:tc>
          <w:tcPr>
            <w:tcW w:w="4870" w:type="dxa"/>
          </w:tcPr>
          <w:p w:rsidR="00335220" w:rsidRPr="006343CA" w:rsidRDefault="00335220" w:rsidP="00335220">
            <w:pPr>
              <w:rPr>
                <w:rFonts w:cs="Arial"/>
                <w:szCs w:val="22"/>
                <w:lang w:val="es-ES"/>
              </w:rPr>
            </w:pPr>
          </w:p>
        </w:tc>
        <w:tc>
          <w:tcPr>
            <w:tcW w:w="4751" w:type="dxa"/>
            <w:shd w:val="clear" w:color="auto" w:fill="auto"/>
          </w:tcPr>
          <w:p w:rsidR="00335220" w:rsidRPr="00335220" w:rsidRDefault="00335220" w:rsidP="00335220">
            <w:pPr>
              <w:rPr>
                <w:rFonts w:cs="Arial"/>
                <w:szCs w:val="22"/>
                <w:lang w:val="es-ES"/>
              </w:rPr>
            </w:pPr>
          </w:p>
        </w:tc>
      </w:tr>
    </w:tbl>
    <w:p w:rsidR="00335220" w:rsidRDefault="00335220" w:rsidP="00335220"/>
    <w:p w:rsidR="00335220" w:rsidRDefault="00335220" w:rsidP="00335220"/>
    <w:sectPr w:rsidR="00335220">
      <w:pgSz w:w="11906" w:h="16838"/>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2 CPI">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20"/>
    <w:rsid w:val="00030716"/>
    <w:rsid w:val="001E44C7"/>
    <w:rsid w:val="00335220"/>
    <w:rsid w:val="0064677D"/>
    <w:rsid w:val="006E48C2"/>
    <w:rsid w:val="0095585C"/>
    <w:rsid w:val="00C4596A"/>
    <w:rsid w:val="00C516FC"/>
    <w:rsid w:val="00C63972"/>
    <w:rsid w:val="00C82C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72ED1-21E6-4466-9C3C-DC1FC8F9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220"/>
    <w:pPr>
      <w:widowControl w:val="0"/>
      <w:spacing w:after="0" w:line="360" w:lineRule="auto"/>
      <w:jc w:val="both"/>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
    <w:name w:val="go"/>
    <w:basedOn w:val="Normal"/>
    <w:rsid w:val="00335220"/>
    <w:pPr>
      <w:widowControl/>
    </w:pPr>
    <w:rPr>
      <w:rFonts w:ascii="Courier 12 CPI" w:hAnsi="Courier 12 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BCC6354C.dotm</Template>
  <TotalTime>1</TotalTime>
  <Pages>3</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2</cp:revision>
  <dcterms:created xsi:type="dcterms:W3CDTF">2018-07-02T10:30:00Z</dcterms:created>
  <dcterms:modified xsi:type="dcterms:W3CDTF">2018-07-02T10:30:00Z</dcterms:modified>
</cp:coreProperties>
</file>